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444444"/>
          <w:spacing w:val="12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44444"/>
          <w:spacing w:val="12"/>
          <w:sz w:val="21"/>
          <w:szCs w:val="21"/>
        </w:rPr>
        <w:t>第六届“大学生成功素质展示节”总体方案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大学生成功素质展示节是集中展示大学生成功素质的重要平台，是提高大学生成功素质的有效手段，是促进学生实现学业成功、就业成功、创业成功和事业成功的重要推力，是落实三维培养模式的重要载体，是学校重要的教育教学活动。根据《武昌理工学院大学生成功素质展示节管理暂行办法》，经过充分研讨论证，现提出第六届大学生成功素质展示节总体方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一、主题定位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以学生的专业素质、非专业素质和特殊素质成果为支撑，以“专业素质扎实、非专业素质过硬、创新素质和特长素质突出”为培养目标，通过素质测评和集中展示，促使成功素质展示节出人才、出成果，引领学生追求卓越，走向成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二、组织机构及其职责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学校成立成功素质展示节指导委员会、校级组织委员会、院级组织委员会分别负责指导、组织和落实第六届大学生成功素质展示节各项工作（组织机构详见附件）。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各学院成立相应的组织机构，负责本单位第六届大学生成功素质展示节的指导、组织和落实工作，组织机构报学校备案。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三、总体安排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（一）展示筹划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1、方案制定及筹备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2015年1月25日——1月30日  组委会制定方案，并报学校审批。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2015年3月1日——3月5日  各学院组委会根据学校实施方案及展示安排，精心制订学院实施方案，报学校展示节组委会批复。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2、宣传发动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月10日－3月25日，由学校组委会统一部署，按照“学校—学院—班级”层层发动，广泛宣传学校举办展示节的目的、意义、内容、形式、要求及参与的方式等，做到师生人人知晓。重要活动（项目）必须在活动开展前两周宣传，发动组织好学生报名参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项目推进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2015年4月10日  举办第六届大学生成功素质展示节开幕式。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2015年4月—5月  学院提炼并遴选优秀成果参与拍卖和校级展示。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2015年6月   在图书馆学术报告厅举办学生优秀成果拍卖会。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2015年9月初  在大学生活动中心按照6个主题进行学校集中展示。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2015年11月  举行第六届大学生成功素质展示节闭幕式。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（二）展示内容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按照7个主题进行集中展示。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专业素质展区：展示学生考取研究生、考取公务员的成绩；展示学院学生CET、专业资格证书等通过率；展示学生专业素质竞赛取得的成绩等。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■非专业素质教育成果展区：展示先进学生典型事迹，主要包含：诚实守信、志愿公益、敬老爱亲、见义勇为、自强不息类型学生的先进事迹等；展示学生、学生组织在校外荣获的非专业素质教育类型的奖项。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学生特长展区：展示学生通过竞赛取得的国家级、省级荣誉；展示学生在考级考证、专业学术活动等方面表现出的专业特长；展示我校特色学生的风采。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创新主题展区：主要展示学生科技创新制作、科技创新论文、专利成果、创新思维、创新管理模式、创意设计、创意模型、创意作品等创新成果，展厅布置要能够展现学生的创新精神、创新能力和创新勇气。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创业主题展区：展示在校学生创业典型案例、学生优秀创业计划书、学院创业教育成果，展厅布置要能够体现创业理念、激发创业激情、展现创业智慧。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成功校友展区：展示在以下几个方面取得成功的校友：从政，行政事业单位、国有企业担任副处级及以上领导职务，或在学校担任正、副校长、书记等职务者；从商（不含创业），在大型企业（1000人以上）担任中层干部或在中型企业（500人左右）担任高管职务者；从学：已获得博士学位、已取得副高及以上职称、参与重大课题获省级以上奖励者；有一定社会影响，在某个方面有较为突出成就，在新闻媒体上被宣传者，或获得县级以上劳模、五一劳动奖章、三八红旗手者，或被吸收为全国、全省专家协会会员者，或出版专著、长篇小说、诗集、剧本，或发表论文、短篇小说、设计作品、摄影作品、书法和绘画作品10篇以上者；或2个及以上专利、知识产权证书获得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■ 缤纷社团展区：展示学生社团建设取得的成果，分为实物成果展和现场演绎展示。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（三）展示形式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 xml:space="preserve">实物展示：在7个主题方面取得的实物成果、荣誉证书、成果模型等。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动态展示：一是动态影像展示，学生创作的微电影、创作的动画片或广告片进行视频展示；二是移动展示，比如学生制作的小手工艺品直接佩戴在身上进行展示；三是表演秀展示，表演秀可以分为不同主题，有以环保为主题的时装表演秀，学生运用各种环保材料设计制作的服装，自己表演，有以游戏角色表演为主题的coseplay，学生自己制作服饰和道具，注入一定的情节进行表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专场展示：学生个人作品展、个人音乐会等。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网上展示：在现有展示节网站的基础上增加动态展示项目，七个展区分别制作视频材料，对展区和成果进行展示。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四、宣传推介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进行多媒介宣传。充分利用校园各类媒体进行宣传，确保校园人人知晓展示节；团委加强与团省委、团中央联系，将展示节在其网站、微博、微信上进行展示宣传和展示；宣传部加强新华社、中国青年报等媒体联系，确保在重点媒体进行全面报道，扩大展示节社会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2、制作成果（作品）集。学校按照主题展区分项精选优秀成果汇编成册，展示各主题展区的优秀成果，作为学校文化积累和沉淀，展示成功素质教育的风采与成果。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3、制作成功校友集。收集成功校友的成功案例，以通讯稿或故事体的形式形成成果集。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展示节期间，邀请团省委、省教育厅等政府部门的主管领导来校参观指导；组织省内教育系统重要会议在学校召开，组织与会人员参观展示节；邀请省内高校、友好单位来校观摩，提升展示节活动的品牌影响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五、总体部署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展示节围绕一个目标（培养大学生成功素质）、结合两大系统（专业素质教育与非专业素质教育）、着眼两个发展（全面发展与个性发展）、突出三个培养（突出实践能力的培养、突出人才的复合型和个性特长的培养、突出创新精神和创新能力的培养）、立足五大体系（观念、品格、知识、方法、能力），促进四个成功（学业成功、就业成功、创业成功和事业成功），综合布局，立体展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学校设立“大学生成功素质展示节”专项基金，由组委会提出预算，经学校批准后，专款专用。各项活动必须精打细算，厉行节约，保障重点，兼顾一般；经费做到要规范管理和规范开支，年度进行专项审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六、基本要求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、高度重视。各学院院长是成功素质展示节的第一责任人，负责统筹全院展示节工作的推进，并审定学院展示节工作方案；各学院书记、副院长负责学院展示节工作的具体落实；书记负责非专业素质项目赛事、成果凝练，教学副院长负责专业素质项目赛事、成果凝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2、全员参与。各组织单位要创新思维、精密策划，不断提升展示节的质量和内涵；全体教师要参与到成功素质展示节各项目中，提升展示节的档次；全体学生必须参与到成功素质展示节的各项活动中。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3、加强指导。各学院教职工要积极参与展示节，学院要重视展示节子项目指导和学生成果的前期培育。专业社团成绩、学生专业成果在集中展示节时署名指导教师。展示节结束后，组委会将对各院教师指导学生、指导社团工作的情况进行考核，并将考核成绩纳入院领导及教职工考核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4、加强管理。各学院要加强对成功素质展示节各项成果的管理，切实保护优秀创新成果的知识产权。严禁弄虚作假，一经查出，一票否决。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5、塑造品牌。通过展示节培育新成果，确保成果数量和质量不断上升，将展示节办成有水平、有声誉、有特色的品牌活动。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6、确保实效。在展示节过程中要提炼精品、推陈出新，避免过度包装、夸张修饰、华而不实。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7、厉行节约。对成功素质展示节各项经费要做到专款专用，各项活动必须精打细算，厉行节约，保障重点，规范开支。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七、考核办法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考核分两部分进行，其中成果85分、组织状况15分。总得分纳入学校对各学院的年终考核中。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1. 成果考核办法。学校组委会根据进入到校级展示的成果，对学院分别进行考核，成果不重复计算，总计85分。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    （1）专业素质展区，20分。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</w:p>
    <w:tbl>
      <w:tblPr>
        <w:tblStyle w:val="6"/>
        <w:tblW w:w="8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5"/>
        <w:gridCol w:w="714"/>
        <w:gridCol w:w="961"/>
        <w:gridCol w:w="997"/>
        <w:gridCol w:w="1041"/>
        <w:gridCol w:w="963"/>
        <w:gridCol w:w="1052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7" w:hRule="atLeast"/>
        </w:trPr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考核指标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A（95%）</w:t>
            </w: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B（85%）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C（75%）</w:t>
            </w: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D（65%）</w:t>
            </w: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E（45%）</w:t>
            </w: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7" w:hRule="atLeast"/>
        </w:trPr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考研考公状况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8名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以应届本科毕业生为基数，计算考研考公率排序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考证状况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6名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10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根据生均专业特长素质学分排序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12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专业获奖状况</w:t>
            </w:r>
          </w:p>
        </w:tc>
        <w:tc>
          <w:tcPr>
            <w:tcW w:w="7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6名</w:t>
            </w: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9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5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10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特长素质展区，10分。</w:t>
      </w:r>
    </w:p>
    <w:tbl>
      <w:tblPr>
        <w:tblStyle w:val="6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18"/>
        <w:gridCol w:w="1017"/>
        <w:gridCol w:w="1018"/>
        <w:gridCol w:w="1017"/>
        <w:gridCol w:w="1018"/>
        <w:gridCol w:w="1017"/>
        <w:gridCol w:w="1018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34" w:hRule="atLeast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考核指标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A（95%）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B（85%）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C（75%）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D（65%）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E（45%）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1018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学生特长素质状况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20分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根据生均非专业特长素质学分排序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创新成果展区，15分。</w:t>
      </w:r>
    </w:p>
    <w:tbl>
      <w:tblPr>
        <w:tblStyle w:val="6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017"/>
        <w:gridCol w:w="1018"/>
        <w:gridCol w:w="1017"/>
        <w:gridCol w:w="1018"/>
        <w:gridCol w:w="1017"/>
        <w:gridCol w:w="1018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考核指标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A（95%）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B（85%）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C（75%）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D（65%）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E（45%）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学生创新素质状况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15分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根据生均创新素质学分排序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instrText xml:space="preserve"> HYPERLINK "http://zsj.wut.edu.cn/upimg/userup/1603/301942404211.jpg" \t "http://zsj.wut.edu.cn/html/lijiehuigu/20160330/_blank" </w:instrTex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（4）创业成果展区，14分。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学生进行创业实践，取得工商注册的每项计1分；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未取得工商注册的分两类考核：开网店时间在6个月以上，取得一钻石信誉，每网店计0.5分；开店经营半年以上，提供租房合同及店面照片，每店计0.5分。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满分共计14分，弄虚作假，一经查实扣14分。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（5）成功校友展区，16分。</w:t>
      </w:r>
    </w:p>
    <w:tbl>
      <w:tblPr>
        <w:tblStyle w:val="6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017"/>
        <w:gridCol w:w="1018"/>
        <w:gridCol w:w="1017"/>
        <w:gridCol w:w="1018"/>
        <w:gridCol w:w="1017"/>
        <w:gridCol w:w="1018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考核指标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A（95%）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B（85%）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C（75%）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D（65%）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E（45%）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成功校友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20分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10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以已毕业的全部学生数为基数，计算成功校友率并排序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社团成果展区，10分。</w:t>
      </w: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21"/>
        <w:gridCol w:w="1402"/>
        <w:gridCol w:w="1712"/>
        <w:gridCol w:w="171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66" w:hRule="atLeast"/>
        </w:trPr>
        <w:tc>
          <w:tcPr>
            <w:tcW w:w="2021" w:type="dxa"/>
            <mc:AlternateContent>
              <mc:Choice Requires="wpsCustomData">
                <wpsCustomData:diagonals>
                  <wpsCustomData:diagonal from="30000" to="6600">
                    <wpsCustomData:border w:val="single" w:color="auto" w:sz="4" w:space="0"/>
                  </wpsCustomData:diagonal>
                  <wpsCustomData:diagonal from="30000" to="15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奖项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素质学分数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级别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国家级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省厅级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市区级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2021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一等奖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5" w:hRule="atLeast"/>
        </w:trPr>
        <w:tc>
          <w:tcPr>
            <w:tcW w:w="2021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二等奖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2021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三等奖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3" w:hRule="atLeast"/>
        </w:trPr>
        <w:tc>
          <w:tcPr>
            <w:tcW w:w="2021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优秀奖</w:t>
            </w:r>
          </w:p>
        </w:tc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12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0.5</w:t>
            </w:r>
          </w:p>
        </w:tc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5" w:hRule="atLeast"/>
        </w:trPr>
        <w:tc>
          <w:tcPr>
            <w:tcW w:w="85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注：金奖（冠军）、银奖（亚军）、铜奖（季军）按一、二、三等奖计算；取得名次的奖项，1-2名按一等奖、3</w:t>
            </w: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-4名按二等奖、7-8名按三等奖、7-8名按优秀奖计算；“荣誉称号”类奖项参照一等奖分数；其它奖项按照优秀奖计算。此项只算以社团名义获得的荣誉及奖励；颁奖单位需为行政一级单位，如是二级单位自动降一级积分。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instrText xml:space="preserve"> HYPERLINK "http://zsj.wut.edu.cn/upimg/userup/1603/3019455132b.jpg" \t "http://zsj.wut.edu.cn/html/lijiehuigu/20160330/_blank" </w:instrText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2. 学院组织状况，共15分。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主要考核学院集中展示（含布展）、开、闭幕式、子项目组织和教师参与状况。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4"/>
        <w:gridCol w:w="1065"/>
        <w:gridCol w:w="1065"/>
        <w:gridCol w:w="1065"/>
        <w:gridCol w:w="1066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0" w:hRule="atLeast"/>
        </w:trPr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考核指标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A（95%）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B（85%）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C（75%）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D（65%）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E（45%）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4" w:hRule="atLeast"/>
        </w:trPr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集中展示（含布展）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5分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2"/>
                <w:szCs w:val="22"/>
                <w:vertAlign w:val="baseline"/>
                <w:lang w:val="en-US" w:eastAsia="zh-CN" w:bidi="ar"/>
              </w:rPr>
              <w:t>组委会70%，校级学生干部30%。各成员分别打分，汇总计分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9" w:hRule="atLeast"/>
        </w:trPr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开、闭幕式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4分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现场考核打分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8" w:hRule="atLeast"/>
        </w:trPr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子项目组织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3分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第1名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第2-3名</w:t>
            </w:r>
          </w:p>
        </w:tc>
        <w:tc>
          <w:tcPr>
            <w:tcW w:w="10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第4-5名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第6名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0"/>
                <w:szCs w:val="20"/>
                <w:vertAlign w:val="baseline"/>
                <w:lang w:val="en-US" w:eastAsia="zh-CN" w:bidi="ar"/>
              </w:rPr>
              <w:t>第7名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组委会办公室打分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09" w:hRule="atLeast"/>
        </w:trPr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教师参与状况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3分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很好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好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较好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一般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未参与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444444"/>
                <w:spacing w:val="12"/>
                <w:kern w:val="0"/>
                <w:sz w:val="24"/>
                <w:szCs w:val="24"/>
                <w:vertAlign w:val="baseline"/>
                <w:lang w:val="en-US" w:eastAsia="zh-CN" w:bidi="ar"/>
              </w:rPr>
              <w:t>组织学生代表（参赛选手、社团代表、参与成果展示学生代表）开展问卷调查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outlineLvl w:val="9"/>
        <w:rPr>
          <w:rFonts w:hint="eastAsia" w:ascii="宋体" w:hAnsi="宋体" w:eastAsia="宋体" w:cs="宋体"/>
          <w:color w:val="444444"/>
          <w:spacing w:val="12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spacing w:val="12"/>
          <w:kern w:val="0"/>
          <w:sz w:val="24"/>
          <w:szCs w:val="24"/>
          <w:lang w:val="en-US" w:eastAsia="zh-CN" w:bidi="ar"/>
        </w:rPr>
        <w:t>                                   二〇一五年三月十日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eastAsia" w:ascii="微软雅黑" w:hAnsi="微软雅黑" w:eastAsia="微软雅黑" w:cs="微软雅黑"/>
          <w:color w:val="444444"/>
          <w:spacing w:val="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914E4E"/>
    <w:multiLevelType w:val="singleLevel"/>
    <w:tmpl w:val="EC914E4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99579E3"/>
    <w:multiLevelType w:val="singleLevel"/>
    <w:tmpl w:val="399579E3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B3490"/>
    <w:rsid w:val="6D535020"/>
    <w:rsid w:val="7A5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2018-05-28T04:23:00Z</dcterms:created>
  <dc:creator>Devil</dc:creator>
  <cp:lastModifiedBy>Devil</cp:lastModifiedBy>
  <dcterms:modified xsi:type="dcterms:W3CDTF">2018-05-28T05:35:21Z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